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9BFB7" w14:textId="77777777" w:rsidR="005C59DD" w:rsidRDefault="00900A3F">
      <w:pPr>
        <w:pStyle w:val="BodyText"/>
        <w:ind w:left="8420"/>
        <w:rPr>
          <w:rFonts w:ascii="Times New Roman"/>
          <w:sz w:val="20"/>
        </w:rPr>
      </w:pPr>
      <w:r>
        <w:rPr>
          <w:rFonts w:ascii="Times New Roman"/>
          <w:noProof/>
          <w:sz w:val="20"/>
        </w:rPr>
        <w:drawing>
          <wp:inline distT="0" distB="0" distL="0" distR="0" wp14:anchorId="26103D9E" wp14:editId="58189842">
            <wp:extent cx="1426084" cy="3474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26084" cy="347472"/>
                    </a:xfrm>
                    <a:prstGeom prst="rect">
                      <a:avLst/>
                    </a:prstGeom>
                  </pic:spPr>
                </pic:pic>
              </a:graphicData>
            </a:graphic>
          </wp:inline>
        </w:drawing>
      </w:r>
    </w:p>
    <w:p w14:paraId="65DCA9D8" w14:textId="77777777" w:rsidR="005C59DD" w:rsidRDefault="005C59DD">
      <w:pPr>
        <w:pStyle w:val="BodyText"/>
        <w:rPr>
          <w:rFonts w:ascii="Times New Roman"/>
          <w:sz w:val="20"/>
        </w:rPr>
      </w:pPr>
    </w:p>
    <w:p w14:paraId="5D6C9F8E" w14:textId="77777777" w:rsidR="005C59DD" w:rsidRDefault="005C59DD">
      <w:pPr>
        <w:pStyle w:val="BodyText"/>
        <w:spacing w:before="10"/>
        <w:rPr>
          <w:rFonts w:ascii="Times New Roman"/>
          <w:sz w:val="23"/>
        </w:rPr>
      </w:pPr>
    </w:p>
    <w:p w14:paraId="2B31ED7E" w14:textId="77777777" w:rsidR="005C59DD" w:rsidRDefault="00900A3F">
      <w:pPr>
        <w:spacing w:before="85"/>
        <w:ind w:left="118"/>
        <w:jc w:val="both"/>
        <w:rPr>
          <w:sz w:val="44"/>
        </w:rPr>
      </w:pPr>
      <w:r>
        <w:rPr>
          <w:sz w:val="44"/>
        </w:rPr>
        <w:t>Remuneration</w:t>
      </w:r>
    </w:p>
    <w:p w14:paraId="3570CB9F" w14:textId="77777777" w:rsidR="005C59DD" w:rsidRDefault="00900A3F">
      <w:pPr>
        <w:pStyle w:val="BodyText"/>
        <w:spacing w:before="255"/>
        <w:ind w:left="118" w:right="595"/>
        <w:jc w:val="both"/>
      </w:pPr>
      <w:r>
        <w:t>The Company’s AIFM, Ediston Investment Services Limited (EISL) is subject to the Remuneration requirements of the AIFM Directive on a proportionate basis in respect of its activities as AIFM. EISL currently provides AIFM services for the Company and no other AIF at present.</w:t>
      </w:r>
    </w:p>
    <w:p w14:paraId="43406C3A" w14:textId="77777777" w:rsidR="005C59DD" w:rsidRDefault="005C59DD">
      <w:pPr>
        <w:pStyle w:val="BodyText"/>
        <w:spacing w:before="9"/>
        <w:rPr>
          <w:sz w:val="21"/>
        </w:rPr>
      </w:pPr>
    </w:p>
    <w:p w14:paraId="1984C244" w14:textId="77777777" w:rsidR="005C59DD" w:rsidRDefault="00900A3F">
      <w:pPr>
        <w:pStyle w:val="BodyText"/>
        <w:ind w:left="118" w:right="593"/>
        <w:jc w:val="both"/>
      </w:pPr>
      <w:r>
        <w:t>EISL does not employ any direct staff. The board of the AIFM are employees of Ediston Properties Limited</w:t>
      </w:r>
      <w:r>
        <w:rPr>
          <w:spacing w:val="-8"/>
        </w:rPr>
        <w:t xml:space="preserve"> </w:t>
      </w:r>
      <w:r>
        <w:t>(EPL)</w:t>
      </w:r>
      <w:r>
        <w:rPr>
          <w:spacing w:val="-5"/>
        </w:rPr>
        <w:t xml:space="preserve"> </w:t>
      </w:r>
      <w:r>
        <w:t>to</w:t>
      </w:r>
      <w:r>
        <w:rPr>
          <w:spacing w:val="-4"/>
        </w:rPr>
        <w:t xml:space="preserve"> </w:t>
      </w:r>
      <w:r>
        <w:t>whom</w:t>
      </w:r>
      <w:r>
        <w:rPr>
          <w:spacing w:val="-3"/>
        </w:rPr>
        <w:t xml:space="preserve"> </w:t>
      </w:r>
      <w:r>
        <w:t>EISL</w:t>
      </w:r>
      <w:r>
        <w:rPr>
          <w:spacing w:val="-4"/>
        </w:rPr>
        <w:t xml:space="preserve"> </w:t>
      </w:r>
      <w:r>
        <w:t>have</w:t>
      </w:r>
      <w:r>
        <w:rPr>
          <w:spacing w:val="-5"/>
        </w:rPr>
        <w:t xml:space="preserve"> </w:t>
      </w:r>
      <w:r>
        <w:t>delegated</w:t>
      </w:r>
      <w:r>
        <w:rPr>
          <w:spacing w:val="-6"/>
        </w:rPr>
        <w:t xml:space="preserve"> </w:t>
      </w:r>
      <w:r>
        <w:t>Portfolio</w:t>
      </w:r>
      <w:r>
        <w:rPr>
          <w:spacing w:val="-2"/>
        </w:rPr>
        <w:t xml:space="preserve"> </w:t>
      </w:r>
      <w:r>
        <w:t>Management</w:t>
      </w:r>
      <w:r>
        <w:rPr>
          <w:spacing w:val="-3"/>
        </w:rPr>
        <w:t xml:space="preserve"> </w:t>
      </w:r>
      <w:r>
        <w:t>and</w:t>
      </w:r>
      <w:r>
        <w:rPr>
          <w:spacing w:val="-7"/>
        </w:rPr>
        <w:t xml:space="preserve"> </w:t>
      </w:r>
      <w:r>
        <w:t>are</w:t>
      </w:r>
      <w:r>
        <w:rPr>
          <w:spacing w:val="-4"/>
        </w:rPr>
        <w:t xml:space="preserve"> </w:t>
      </w:r>
      <w:r>
        <w:t>subject</w:t>
      </w:r>
      <w:r>
        <w:rPr>
          <w:spacing w:val="-5"/>
        </w:rPr>
        <w:t xml:space="preserve"> </w:t>
      </w:r>
      <w:r>
        <w:t>to</w:t>
      </w:r>
      <w:r>
        <w:rPr>
          <w:spacing w:val="-6"/>
        </w:rPr>
        <w:t xml:space="preserve"> </w:t>
      </w:r>
      <w:r>
        <w:t>the</w:t>
      </w:r>
      <w:r>
        <w:rPr>
          <w:spacing w:val="-6"/>
        </w:rPr>
        <w:t xml:space="preserve"> </w:t>
      </w:r>
      <w:r>
        <w:t>AIFM</w:t>
      </w:r>
      <w:r>
        <w:rPr>
          <w:spacing w:val="-7"/>
        </w:rPr>
        <w:t xml:space="preserve"> </w:t>
      </w:r>
      <w:r>
        <w:t>policies as regulated by the Financial Conduct Authority (FCA). EISL is subject to the FCA’s Prudential Sourcebook for Banks, Building Societies and Investment Firms (BIPRU) Remuneration Requirements under</w:t>
      </w:r>
      <w:r>
        <w:rPr>
          <w:spacing w:val="-10"/>
        </w:rPr>
        <w:t xml:space="preserve"> </w:t>
      </w:r>
      <w:r>
        <w:t>SYSC</w:t>
      </w:r>
      <w:r>
        <w:rPr>
          <w:spacing w:val="-12"/>
        </w:rPr>
        <w:t xml:space="preserve"> </w:t>
      </w:r>
      <w:r>
        <w:t>19C</w:t>
      </w:r>
      <w:r>
        <w:rPr>
          <w:spacing w:val="-12"/>
        </w:rPr>
        <w:t xml:space="preserve"> </w:t>
      </w:r>
      <w:r>
        <w:t>on</w:t>
      </w:r>
      <w:r>
        <w:rPr>
          <w:spacing w:val="-11"/>
        </w:rPr>
        <w:t xml:space="preserve"> </w:t>
      </w:r>
      <w:r>
        <w:t>a</w:t>
      </w:r>
      <w:r>
        <w:rPr>
          <w:spacing w:val="-11"/>
        </w:rPr>
        <w:t xml:space="preserve"> </w:t>
      </w:r>
      <w:r>
        <w:t>proportionate</w:t>
      </w:r>
      <w:r>
        <w:rPr>
          <w:spacing w:val="-11"/>
        </w:rPr>
        <w:t xml:space="preserve"> </w:t>
      </w:r>
      <w:r>
        <w:t>basis.</w:t>
      </w:r>
      <w:r>
        <w:rPr>
          <w:spacing w:val="-12"/>
        </w:rPr>
        <w:t xml:space="preserve"> </w:t>
      </w:r>
      <w:r>
        <w:t>The</w:t>
      </w:r>
      <w:r>
        <w:rPr>
          <w:spacing w:val="-11"/>
        </w:rPr>
        <w:t xml:space="preserve"> </w:t>
      </w:r>
      <w:r>
        <w:t>board</w:t>
      </w:r>
      <w:r>
        <w:rPr>
          <w:spacing w:val="-11"/>
        </w:rPr>
        <w:t xml:space="preserve"> </w:t>
      </w:r>
      <w:r>
        <w:t>of</w:t>
      </w:r>
      <w:r>
        <w:rPr>
          <w:spacing w:val="-7"/>
        </w:rPr>
        <w:t xml:space="preserve"> </w:t>
      </w:r>
      <w:r>
        <w:t>EISL</w:t>
      </w:r>
      <w:r>
        <w:rPr>
          <w:spacing w:val="-11"/>
        </w:rPr>
        <w:t xml:space="preserve"> </w:t>
      </w:r>
      <w:r>
        <w:t>has</w:t>
      </w:r>
      <w:r>
        <w:rPr>
          <w:spacing w:val="-11"/>
        </w:rPr>
        <w:t xml:space="preserve"> </w:t>
      </w:r>
      <w:r>
        <w:t>responsibility</w:t>
      </w:r>
      <w:r>
        <w:rPr>
          <w:spacing w:val="-12"/>
        </w:rPr>
        <w:t xml:space="preserve"> </w:t>
      </w:r>
      <w:r>
        <w:t>for</w:t>
      </w:r>
      <w:r>
        <w:rPr>
          <w:spacing w:val="-12"/>
        </w:rPr>
        <w:t xml:space="preserve"> </w:t>
      </w:r>
      <w:r>
        <w:t>the</w:t>
      </w:r>
      <w:r>
        <w:rPr>
          <w:spacing w:val="-11"/>
        </w:rPr>
        <w:t xml:space="preserve"> </w:t>
      </w:r>
      <w:r>
        <w:t>risk</w:t>
      </w:r>
      <w:r>
        <w:rPr>
          <w:spacing w:val="-11"/>
        </w:rPr>
        <w:t xml:space="preserve"> </w:t>
      </w:r>
      <w:r>
        <w:t>management arrangements.</w:t>
      </w:r>
    </w:p>
    <w:p w14:paraId="151D7256" w14:textId="77777777" w:rsidR="005C59DD" w:rsidRDefault="005C59DD">
      <w:pPr>
        <w:pStyle w:val="BodyText"/>
      </w:pPr>
    </w:p>
    <w:p w14:paraId="25B81999" w14:textId="77777777" w:rsidR="005C59DD" w:rsidRDefault="00900A3F">
      <w:pPr>
        <w:pStyle w:val="BodyText"/>
        <w:ind w:left="118" w:right="595"/>
        <w:jc w:val="both"/>
      </w:pPr>
      <w:r>
        <w:t>The</w:t>
      </w:r>
      <w:r>
        <w:rPr>
          <w:spacing w:val="-16"/>
        </w:rPr>
        <w:t xml:space="preserve"> </w:t>
      </w:r>
      <w:r>
        <w:t>investment</w:t>
      </w:r>
      <w:r>
        <w:rPr>
          <w:spacing w:val="-15"/>
        </w:rPr>
        <w:t xml:space="preserve"> </w:t>
      </w:r>
      <w:r>
        <w:t>processes</w:t>
      </w:r>
      <w:r>
        <w:rPr>
          <w:spacing w:val="-13"/>
        </w:rPr>
        <w:t xml:space="preserve"> </w:t>
      </w:r>
      <w:r>
        <w:t>are</w:t>
      </w:r>
      <w:r>
        <w:rPr>
          <w:spacing w:val="-16"/>
        </w:rPr>
        <w:t xml:space="preserve"> </w:t>
      </w:r>
      <w:r>
        <w:t>subject</w:t>
      </w:r>
      <w:r>
        <w:rPr>
          <w:spacing w:val="-17"/>
        </w:rPr>
        <w:t xml:space="preserve"> </w:t>
      </w:r>
      <w:r>
        <w:t>to</w:t>
      </w:r>
      <w:r>
        <w:rPr>
          <w:spacing w:val="-16"/>
        </w:rPr>
        <w:t xml:space="preserve"> </w:t>
      </w:r>
      <w:r>
        <w:t>the</w:t>
      </w:r>
      <w:r>
        <w:rPr>
          <w:spacing w:val="-18"/>
        </w:rPr>
        <w:t xml:space="preserve"> </w:t>
      </w:r>
      <w:r>
        <w:t>governance</w:t>
      </w:r>
      <w:r>
        <w:rPr>
          <w:spacing w:val="-14"/>
        </w:rPr>
        <w:t xml:space="preserve"> </w:t>
      </w:r>
      <w:r>
        <w:t>structure</w:t>
      </w:r>
      <w:r>
        <w:rPr>
          <w:spacing w:val="-16"/>
        </w:rPr>
        <w:t xml:space="preserve"> </w:t>
      </w:r>
      <w:r>
        <w:t>of</w:t>
      </w:r>
      <w:r>
        <w:rPr>
          <w:spacing w:val="-12"/>
        </w:rPr>
        <w:t xml:space="preserve"> </w:t>
      </w:r>
      <w:r>
        <w:t>EPL</w:t>
      </w:r>
      <w:r>
        <w:rPr>
          <w:spacing w:val="-16"/>
        </w:rPr>
        <w:t xml:space="preserve"> </w:t>
      </w:r>
      <w:r>
        <w:t>and</w:t>
      </w:r>
      <w:r>
        <w:rPr>
          <w:spacing w:val="-16"/>
        </w:rPr>
        <w:t xml:space="preserve"> </w:t>
      </w:r>
      <w:r>
        <w:t>the</w:t>
      </w:r>
      <w:r>
        <w:rPr>
          <w:spacing w:val="-16"/>
        </w:rPr>
        <w:t xml:space="preserve"> </w:t>
      </w:r>
      <w:r>
        <w:t>board</w:t>
      </w:r>
      <w:r>
        <w:rPr>
          <w:spacing w:val="-16"/>
        </w:rPr>
        <w:t xml:space="preserve"> </w:t>
      </w:r>
      <w:r>
        <w:t>of</w:t>
      </w:r>
      <w:r>
        <w:rPr>
          <w:spacing w:val="-12"/>
        </w:rPr>
        <w:t xml:space="preserve"> </w:t>
      </w:r>
      <w:r>
        <w:t>EISL</w:t>
      </w:r>
      <w:r>
        <w:rPr>
          <w:spacing w:val="-16"/>
        </w:rPr>
        <w:t xml:space="preserve"> </w:t>
      </w:r>
      <w:r>
        <w:t>monitors the effectiveness in meeting strict criteria at an AIF level. The board of EISL discharges its duties via regular</w:t>
      </w:r>
      <w:r>
        <w:rPr>
          <w:spacing w:val="-10"/>
        </w:rPr>
        <w:t xml:space="preserve"> </w:t>
      </w:r>
      <w:r>
        <w:t>reporting</w:t>
      </w:r>
      <w:r>
        <w:rPr>
          <w:spacing w:val="-6"/>
        </w:rPr>
        <w:t xml:space="preserve"> </w:t>
      </w:r>
      <w:r>
        <w:t>and</w:t>
      </w:r>
      <w:r>
        <w:rPr>
          <w:spacing w:val="-13"/>
        </w:rPr>
        <w:t xml:space="preserve"> </w:t>
      </w:r>
      <w:r>
        <w:t>review</w:t>
      </w:r>
      <w:r>
        <w:rPr>
          <w:spacing w:val="-10"/>
        </w:rPr>
        <w:t xml:space="preserve"> </w:t>
      </w:r>
      <w:r>
        <w:t>at</w:t>
      </w:r>
      <w:r>
        <w:rPr>
          <w:spacing w:val="-7"/>
        </w:rPr>
        <w:t xml:space="preserve"> </w:t>
      </w:r>
      <w:r>
        <w:t>board</w:t>
      </w:r>
      <w:r>
        <w:rPr>
          <w:spacing w:val="-13"/>
        </w:rPr>
        <w:t xml:space="preserve"> </w:t>
      </w:r>
      <w:r>
        <w:t>meetings</w:t>
      </w:r>
      <w:r>
        <w:rPr>
          <w:spacing w:val="-10"/>
        </w:rPr>
        <w:t xml:space="preserve"> </w:t>
      </w:r>
      <w:r>
        <w:t>and</w:t>
      </w:r>
      <w:r>
        <w:rPr>
          <w:spacing w:val="-8"/>
        </w:rPr>
        <w:t xml:space="preserve"> </w:t>
      </w:r>
      <w:r>
        <w:t>via</w:t>
      </w:r>
      <w:r>
        <w:rPr>
          <w:spacing w:val="-7"/>
        </w:rPr>
        <w:t xml:space="preserve"> </w:t>
      </w:r>
      <w:r>
        <w:t>allocation</w:t>
      </w:r>
      <w:r>
        <w:rPr>
          <w:spacing w:val="-8"/>
        </w:rPr>
        <w:t xml:space="preserve"> </w:t>
      </w:r>
      <w:r>
        <w:t>of</w:t>
      </w:r>
      <w:r>
        <w:rPr>
          <w:spacing w:val="-7"/>
        </w:rPr>
        <w:t xml:space="preserve"> </w:t>
      </w:r>
      <w:r>
        <w:t>executive</w:t>
      </w:r>
      <w:r>
        <w:rPr>
          <w:spacing w:val="-8"/>
        </w:rPr>
        <w:t xml:space="preserve"> </w:t>
      </w:r>
      <w:r>
        <w:t>responsibilities,</w:t>
      </w:r>
      <w:r>
        <w:rPr>
          <w:spacing w:val="-7"/>
        </w:rPr>
        <w:t xml:space="preserve"> </w:t>
      </w:r>
      <w:r>
        <w:t>in</w:t>
      </w:r>
      <w:r>
        <w:rPr>
          <w:spacing w:val="-11"/>
        </w:rPr>
        <w:t xml:space="preserve"> </w:t>
      </w:r>
      <w:r>
        <w:t>relation to EISL, within the EPL management</w:t>
      </w:r>
      <w:r>
        <w:rPr>
          <w:spacing w:val="-4"/>
        </w:rPr>
        <w:t xml:space="preserve"> </w:t>
      </w:r>
      <w:r>
        <w:t>team.</w:t>
      </w:r>
    </w:p>
    <w:p w14:paraId="22BAB995" w14:textId="77777777" w:rsidR="005C59DD" w:rsidRDefault="005C59DD">
      <w:pPr>
        <w:pStyle w:val="BodyText"/>
      </w:pPr>
    </w:p>
    <w:p w14:paraId="706E490A" w14:textId="151F4CB9" w:rsidR="005C59DD" w:rsidRDefault="00900A3F">
      <w:pPr>
        <w:pStyle w:val="BodyText"/>
        <w:ind w:left="118" w:right="594"/>
        <w:jc w:val="both"/>
      </w:pPr>
      <w:r>
        <w:t>The AIFM has no identified staff out with its board. The board of the AIFM has four individuals who are AIFM Remuneration Code Staff “AIFM Code Staff”, i.e. individuals whose activities have a material impact on the risk profile of the AIFM. During the year there was a further individual employed by EPL who also qualified as AIFM Code staff. The aggregate remuneration for these five individuals, apportioned for the AIFM duties they have performed for the year 20</w:t>
      </w:r>
      <w:r w:rsidR="00E61F94">
        <w:t>20</w:t>
      </w:r>
      <w:r>
        <w:t>, is £3</w:t>
      </w:r>
      <w:r w:rsidR="00E61F94">
        <w:t>41</w:t>
      </w:r>
      <w:r>
        <w:t>,</w:t>
      </w:r>
      <w:r w:rsidR="00E61F94">
        <w:t>381</w:t>
      </w:r>
      <w:bookmarkStart w:id="0" w:name="_GoBack"/>
      <w:bookmarkEnd w:id="0"/>
      <w:r>
        <w:t>.</w:t>
      </w:r>
    </w:p>
    <w:p w14:paraId="51F50283" w14:textId="77777777" w:rsidR="005C59DD" w:rsidRDefault="005C59DD">
      <w:pPr>
        <w:pStyle w:val="BodyText"/>
        <w:rPr>
          <w:sz w:val="20"/>
        </w:rPr>
      </w:pPr>
    </w:p>
    <w:p w14:paraId="3F6E3B6C" w14:textId="77777777" w:rsidR="005C59DD" w:rsidRDefault="005C59DD">
      <w:pPr>
        <w:pStyle w:val="BodyText"/>
        <w:rPr>
          <w:sz w:val="20"/>
        </w:rPr>
      </w:pPr>
    </w:p>
    <w:p w14:paraId="02EA844A" w14:textId="77777777" w:rsidR="005C59DD" w:rsidRDefault="005C59DD">
      <w:pPr>
        <w:pStyle w:val="BodyText"/>
        <w:rPr>
          <w:sz w:val="20"/>
        </w:rPr>
      </w:pPr>
    </w:p>
    <w:p w14:paraId="79E1CD7E" w14:textId="77777777" w:rsidR="005C59DD" w:rsidRDefault="005C59DD">
      <w:pPr>
        <w:pStyle w:val="BodyText"/>
        <w:rPr>
          <w:sz w:val="20"/>
        </w:rPr>
      </w:pPr>
    </w:p>
    <w:p w14:paraId="669546F8" w14:textId="77777777" w:rsidR="005C59DD" w:rsidRDefault="005C59DD">
      <w:pPr>
        <w:pStyle w:val="BodyText"/>
        <w:rPr>
          <w:sz w:val="20"/>
        </w:rPr>
      </w:pPr>
    </w:p>
    <w:p w14:paraId="07D0941B" w14:textId="77777777" w:rsidR="005C59DD" w:rsidRDefault="005C59DD">
      <w:pPr>
        <w:pStyle w:val="BodyText"/>
        <w:rPr>
          <w:sz w:val="20"/>
        </w:rPr>
      </w:pPr>
    </w:p>
    <w:p w14:paraId="67CE7485" w14:textId="77777777" w:rsidR="005C59DD" w:rsidRDefault="005C59DD">
      <w:pPr>
        <w:pStyle w:val="BodyText"/>
        <w:rPr>
          <w:sz w:val="20"/>
        </w:rPr>
      </w:pPr>
    </w:p>
    <w:p w14:paraId="765912AA" w14:textId="77777777" w:rsidR="005C59DD" w:rsidRDefault="005C59DD">
      <w:pPr>
        <w:pStyle w:val="BodyText"/>
        <w:rPr>
          <w:sz w:val="20"/>
        </w:rPr>
      </w:pPr>
    </w:p>
    <w:p w14:paraId="522E09BB" w14:textId="77777777" w:rsidR="005C59DD" w:rsidRDefault="005C59DD">
      <w:pPr>
        <w:pStyle w:val="BodyText"/>
        <w:rPr>
          <w:sz w:val="20"/>
        </w:rPr>
      </w:pPr>
    </w:p>
    <w:p w14:paraId="4B381C15" w14:textId="77777777" w:rsidR="005C59DD" w:rsidRDefault="005C59DD">
      <w:pPr>
        <w:pStyle w:val="BodyText"/>
        <w:rPr>
          <w:sz w:val="20"/>
        </w:rPr>
      </w:pPr>
    </w:p>
    <w:p w14:paraId="429A209A" w14:textId="77777777" w:rsidR="005C59DD" w:rsidRDefault="005C59DD">
      <w:pPr>
        <w:pStyle w:val="BodyText"/>
        <w:rPr>
          <w:sz w:val="20"/>
        </w:rPr>
      </w:pPr>
    </w:p>
    <w:p w14:paraId="2DE19F05" w14:textId="77777777" w:rsidR="005C59DD" w:rsidRDefault="005C59DD">
      <w:pPr>
        <w:pStyle w:val="BodyText"/>
        <w:rPr>
          <w:sz w:val="20"/>
        </w:rPr>
      </w:pPr>
    </w:p>
    <w:p w14:paraId="439E4BF2" w14:textId="77777777" w:rsidR="005C59DD" w:rsidRDefault="005C59DD">
      <w:pPr>
        <w:pStyle w:val="BodyText"/>
        <w:rPr>
          <w:sz w:val="20"/>
        </w:rPr>
      </w:pPr>
    </w:p>
    <w:p w14:paraId="2AD4678B" w14:textId="77777777" w:rsidR="005C59DD" w:rsidRDefault="005C59DD">
      <w:pPr>
        <w:pStyle w:val="BodyText"/>
        <w:rPr>
          <w:sz w:val="20"/>
        </w:rPr>
      </w:pPr>
    </w:p>
    <w:p w14:paraId="3195172A" w14:textId="77777777" w:rsidR="005C59DD" w:rsidRDefault="005C59DD">
      <w:pPr>
        <w:pStyle w:val="BodyText"/>
        <w:rPr>
          <w:sz w:val="20"/>
        </w:rPr>
      </w:pPr>
    </w:p>
    <w:p w14:paraId="3FA66DAA" w14:textId="77777777" w:rsidR="005C59DD" w:rsidRDefault="005C59DD">
      <w:pPr>
        <w:pStyle w:val="BodyText"/>
        <w:rPr>
          <w:sz w:val="20"/>
        </w:rPr>
      </w:pPr>
    </w:p>
    <w:p w14:paraId="6EC9F091" w14:textId="77777777" w:rsidR="005C59DD" w:rsidRDefault="005C59DD">
      <w:pPr>
        <w:pStyle w:val="BodyText"/>
        <w:rPr>
          <w:sz w:val="20"/>
        </w:rPr>
      </w:pPr>
    </w:p>
    <w:p w14:paraId="541ED466" w14:textId="77777777" w:rsidR="005C59DD" w:rsidRDefault="005C59DD">
      <w:pPr>
        <w:pStyle w:val="BodyText"/>
        <w:rPr>
          <w:sz w:val="20"/>
        </w:rPr>
      </w:pPr>
    </w:p>
    <w:p w14:paraId="3DC73249" w14:textId="77777777" w:rsidR="005C59DD" w:rsidRDefault="005C59DD">
      <w:pPr>
        <w:pStyle w:val="BodyText"/>
        <w:rPr>
          <w:sz w:val="20"/>
        </w:rPr>
      </w:pPr>
    </w:p>
    <w:p w14:paraId="1DE0DD35" w14:textId="77777777" w:rsidR="005C59DD" w:rsidRDefault="005C59DD">
      <w:pPr>
        <w:pStyle w:val="BodyText"/>
        <w:rPr>
          <w:sz w:val="20"/>
        </w:rPr>
      </w:pPr>
    </w:p>
    <w:p w14:paraId="5693070E" w14:textId="77777777" w:rsidR="005C59DD" w:rsidRDefault="005C59DD">
      <w:pPr>
        <w:pStyle w:val="BodyText"/>
        <w:rPr>
          <w:sz w:val="20"/>
        </w:rPr>
      </w:pPr>
    </w:p>
    <w:p w14:paraId="618284E4" w14:textId="77777777" w:rsidR="005C59DD" w:rsidRDefault="005C59DD">
      <w:pPr>
        <w:pStyle w:val="BodyText"/>
        <w:rPr>
          <w:sz w:val="20"/>
        </w:rPr>
      </w:pPr>
    </w:p>
    <w:p w14:paraId="673112BD" w14:textId="77777777" w:rsidR="005C59DD" w:rsidRDefault="005C59DD">
      <w:pPr>
        <w:pStyle w:val="BodyText"/>
        <w:rPr>
          <w:sz w:val="20"/>
        </w:rPr>
      </w:pPr>
    </w:p>
    <w:p w14:paraId="60A8DCC9" w14:textId="77777777" w:rsidR="005C59DD" w:rsidRDefault="005C59DD">
      <w:pPr>
        <w:pStyle w:val="BodyText"/>
        <w:rPr>
          <w:sz w:val="20"/>
        </w:rPr>
      </w:pPr>
    </w:p>
    <w:p w14:paraId="492AFC16" w14:textId="77777777" w:rsidR="005C59DD" w:rsidRDefault="005C59DD">
      <w:pPr>
        <w:pStyle w:val="BodyText"/>
        <w:rPr>
          <w:sz w:val="20"/>
        </w:rPr>
      </w:pPr>
    </w:p>
    <w:p w14:paraId="1115B582" w14:textId="77777777" w:rsidR="005C59DD" w:rsidRDefault="005C59DD">
      <w:pPr>
        <w:pStyle w:val="BodyText"/>
        <w:rPr>
          <w:sz w:val="20"/>
        </w:rPr>
      </w:pPr>
    </w:p>
    <w:p w14:paraId="08E0E3B8" w14:textId="77777777" w:rsidR="005C59DD" w:rsidRDefault="005C59DD">
      <w:pPr>
        <w:pStyle w:val="BodyText"/>
        <w:rPr>
          <w:sz w:val="20"/>
        </w:rPr>
      </w:pPr>
    </w:p>
    <w:p w14:paraId="368CB2C1" w14:textId="77777777" w:rsidR="005C59DD" w:rsidRDefault="005C59DD">
      <w:pPr>
        <w:pStyle w:val="BodyText"/>
        <w:rPr>
          <w:sz w:val="20"/>
        </w:rPr>
      </w:pPr>
    </w:p>
    <w:p w14:paraId="4EB276B2" w14:textId="77777777" w:rsidR="005C59DD" w:rsidRDefault="005C59DD">
      <w:pPr>
        <w:pStyle w:val="BodyText"/>
        <w:rPr>
          <w:sz w:val="20"/>
        </w:rPr>
      </w:pPr>
    </w:p>
    <w:p w14:paraId="2F8069AD" w14:textId="77777777" w:rsidR="005C59DD" w:rsidRDefault="005C59DD">
      <w:pPr>
        <w:pStyle w:val="BodyText"/>
        <w:spacing w:before="11"/>
        <w:rPr>
          <w:sz w:val="17"/>
        </w:rPr>
      </w:pPr>
    </w:p>
    <w:p w14:paraId="6C62D19C" w14:textId="77777777" w:rsidR="005C59DD" w:rsidRDefault="00900A3F">
      <w:pPr>
        <w:spacing w:before="96" w:line="288" w:lineRule="auto"/>
        <w:ind w:left="4325" w:right="147" w:hanging="437"/>
        <w:rPr>
          <w:sz w:val="16"/>
        </w:rPr>
      </w:pPr>
      <w:r>
        <w:rPr>
          <w:color w:val="003768"/>
          <w:sz w:val="16"/>
        </w:rPr>
        <w:t>Ediston Real Estate is the trading name of Ediston Properties Limited. Company No. 04910369 Registered Office: Level 13 The Broadgate Tower, Primrose Street, London, EC2A 2EW.</w:t>
      </w:r>
    </w:p>
    <w:sectPr w:rsidR="005C59DD">
      <w:type w:val="continuous"/>
      <w:pgSz w:w="12240" w:h="15840"/>
      <w:pgMar w:top="720" w:right="5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C59DD"/>
    <w:rsid w:val="005C59DD"/>
    <w:rsid w:val="00900A3F"/>
    <w:rsid w:val="00E6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98C2"/>
  <w15:docId w15:val="{7B91A67C-2536-4774-AACB-0FF98853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FE291832DC784283B60E436419F3F8" ma:contentTypeVersion="10" ma:contentTypeDescription="Create a new document." ma:contentTypeScope="" ma:versionID="da57128d26bfa15359289eec55075305">
  <xsd:schema xmlns:xsd="http://www.w3.org/2001/XMLSchema" xmlns:xs="http://www.w3.org/2001/XMLSchema" xmlns:p="http://schemas.microsoft.com/office/2006/metadata/properties" xmlns:ns2="24a1f82c-8c67-4f92-b470-805250c0647a" xmlns:ns3="48b70df3-13e1-4f1c-ba9d-e436674060f6" targetNamespace="http://schemas.microsoft.com/office/2006/metadata/properties" ma:root="true" ma:fieldsID="ff392e5a07da96492b5c2d5387551cde" ns2:_="" ns3:_="">
    <xsd:import namespace="24a1f82c-8c67-4f92-b470-805250c0647a"/>
    <xsd:import namespace="48b70df3-13e1-4f1c-ba9d-e436674060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1f82c-8c67-4f92-b470-805250c0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70df3-13e1-4f1c-ba9d-e436674060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31D16-0076-404D-83F5-BFDB0C1893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CAA63-6C1A-4A33-A605-ED5EE2C23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1f82c-8c67-4f92-b470-805250c0647a"/>
    <ds:schemaRef ds:uri="48b70df3-13e1-4f1c-ba9d-e43667406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4C49C-8A05-4B3C-BF14-E0C1CA848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Cunningham</dc:creator>
  <cp:lastModifiedBy>Neelum Yousaf</cp:lastModifiedBy>
  <cp:revision>2</cp:revision>
  <dcterms:created xsi:type="dcterms:W3CDTF">2020-02-11T15:26:00Z</dcterms:created>
  <dcterms:modified xsi:type="dcterms:W3CDTF">2020-02-11T15:26:00Z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Acrobat PDFMaker 19 for Word</vt:lpwstr>
  </property>
  <property fmtid="{D5CDD505-2E9C-101B-9397-08002B2CF9AE}" pid="4" name="LastSaved">
    <vt:filetime>2019-11-18T00:00:00Z</vt:filetime>
  </property>
  <property fmtid="{D5CDD505-2E9C-101B-9397-08002B2CF9AE}" pid="5" name="ContentTypeId">
    <vt:lpwstr>0x0101004EFE291832DC784283B60E436419F3F8</vt:lpwstr>
  </property>
</Properties>
</file>